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EE" w:rsidRDefault="006E495F">
      <w:pPr>
        <w:pStyle w:val="TitleStyle"/>
      </w:pPr>
      <w:bookmarkStart w:id="0" w:name="_GoBack"/>
      <w:bookmarkEnd w:id="0"/>
      <w:r>
        <w:t>Sposób prowadzenia badań klinicznych z udziałem małoletnich.</w:t>
      </w:r>
    </w:p>
    <w:p w:rsidR="00780DEE" w:rsidRDefault="006E495F">
      <w:pPr>
        <w:pStyle w:val="NormalStyle"/>
      </w:pPr>
      <w:r>
        <w:t>Dz.U.2004.104.1108 z dnia 2004.05.01</w:t>
      </w:r>
    </w:p>
    <w:p w:rsidR="00780DEE" w:rsidRDefault="006E495F">
      <w:pPr>
        <w:pStyle w:val="NormalStyle"/>
      </w:pPr>
      <w:r>
        <w:t>Status: Akt obowiązujący</w:t>
      </w:r>
    </w:p>
    <w:p w:rsidR="00780DEE" w:rsidRDefault="006E495F">
      <w:pPr>
        <w:pStyle w:val="NormalStyle"/>
      </w:pPr>
      <w:r>
        <w:t>Wersja od: 1 maja 2004 r.</w:t>
      </w:r>
    </w:p>
    <w:p w:rsidR="00780DEE" w:rsidRDefault="006E495F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780DEE" w:rsidRDefault="006E495F">
      <w:pPr>
        <w:spacing w:after="0"/>
        <w:jc w:val="center"/>
      </w:pPr>
      <w:r>
        <w:rPr>
          <w:b/>
          <w:color w:val="000000"/>
          <w:sz w:val="36"/>
        </w:rPr>
        <w:t>MINISTRA ZDROWIA</w:t>
      </w:r>
      <w:r>
        <w:rPr>
          <w:b/>
          <w:color w:val="000000"/>
          <w:vertAlign w:val="superscript"/>
        </w:rPr>
        <w:t>1)</w:t>
      </w:r>
    </w:p>
    <w:p w:rsidR="00780DEE" w:rsidRDefault="006E495F">
      <w:pPr>
        <w:spacing w:before="320" w:after="0"/>
        <w:jc w:val="center"/>
      </w:pPr>
      <w:r>
        <w:rPr>
          <w:color w:val="000000"/>
          <w:sz w:val="30"/>
        </w:rPr>
        <w:t>z dnia 30 kwietnia 2004 r.</w:t>
      </w:r>
    </w:p>
    <w:p w:rsidR="00780DEE" w:rsidRDefault="006E495F">
      <w:pPr>
        <w:spacing w:before="320" w:after="0"/>
        <w:jc w:val="center"/>
      </w:pPr>
      <w:r>
        <w:rPr>
          <w:b/>
          <w:color w:val="000000"/>
          <w:sz w:val="30"/>
        </w:rPr>
        <w:t>w sprawie sposobu prowadzenia badań klinicznych z udziałem małoletnich</w:t>
      </w:r>
    </w:p>
    <w:p w:rsidR="00780DEE" w:rsidRDefault="006E495F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37h</w:t>
      </w:r>
      <w:r>
        <w:rPr>
          <w:color w:val="000000"/>
        </w:rPr>
        <w:t xml:space="preserve"> ust. 2 ustawy z dnia 6 września 2001 r. - Prawo farmaceutyczne (Dz. U. z 2004 r. Nr 53, poz. 533, Nr 69, poz. 625, Nr 91, poz. 877, Nr 92, poz. 882 i Nr 93, poz. 896) zarządza się, co następuje: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Przed podjęciem decyzji o rozpoczęciu badań klinicznych z udziałem małoletnich należy przeprowadzić analizę konieczności przeprowadzania takich badań, w której bierze się pod uwagę w szczególności: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częstość występowania choroby, w leczeniu której ma być stosowany produkt leczniczy;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stopień nasilenia (ciężkości) leczonej choroby;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dostępność i dogodność istniejących, alternatywnych sposobów leczenia, rozpatrzenie ich skuteczności, profilu działań niepożądanych, w tym specyficzne problemy bezpieczeństwa związane ze stosowaniem produktu leczniczego u małoletnich;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oryginalność produktu leczniczego;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zakres wskazań;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6)  konieczność ustanowienia specjalnych punktów końcowych, innych niż wyznaczone w badaniach klinicznych u dorosłych;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7)  konieczność wyodrębnienia grup wiekowych, w których produkt leczniczy ma być stosowany;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8)  istnienie specjalnych zagadnień związanych z bezpieczeństwem leków przeznaczonych dla małoletnich z uwzględnieniem wszystkich problemów bezpieczeństwa wykazanych w badaniach przedklinicznych;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9)  potrzebę stworzenia specjalnej pediatrycznej postaci produktu leczniczego;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lastRenderedPageBreak/>
        <w:t xml:space="preserve">  10)  istnienie prawdopodobieństwa znaczącej przewagi nowej metody leczenia z zastosowaniem nowego produktu leczniczego nad znanymi dotychczas metodami leczenia ciężkich zagrażających życiu chorób.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Przy tworzeniu harmonogramu badań klinicznych z udziałem małoletnich uwzględnia się w szczególności: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rodzaj produktu leczniczego;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rodzaj leczonej jednostki chorobowej;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zagadnienia związane z bezpieczeństwem;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skuteczność i bezpieczeństwo dotychczasowego sposobu leczenia;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wyniki badań klinicznych przeprowadzonych z udziałem dorosłych.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3. </w:t>
      </w:r>
      <w:r>
        <w:rPr>
          <w:color w:val="000000"/>
        </w:rPr>
        <w:t>W badaniach klinicznych z udziałem małoletnich należy uwzględnić poniższe grupy wiekowe: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noworodki urodzone przedwcześnie;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noworodki urodzone o czasie (od 0 do 27 dnia życia);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niemowlęta i małe dzieci (od 28 dnia życia do 23 miesiąca życia);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dzieci (od 24 miesiąca życia do 11 roku życia);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młodzież (od 12 roku życia do 18 roku życia).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4. </w:t>
      </w:r>
    </w:p>
    <w:p w:rsidR="00780DEE" w:rsidRDefault="006E495F">
      <w:pPr>
        <w:spacing w:before="107" w:after="0"/>
      </w:pPr>
      <w:r>
        <w:rPr>
          <w:color w:val="000000"/>
        </w:rPr>
        <w:t>1. W trakcie przygotowania protokołu badań klinicznych z udziałem noworodków urodzonych przedwcześnie należy wziąć pod uwagę: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wiek ciążowy;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masę urodzeniową;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niedojrzałość mechanizmów </w:t>
      </w:r>
      <w:proofErr w:type="spellStart"/>
      <w:r>
        <w:rPr>
          <w:color w:val="000000"/>
        </w:rPr>
        <w:t>klirensu</w:t>
      </w:r>
      <w:proofErr w:type="spellEnd"/>
      <w:r>
        <w:rPr>
          <w:color w:val="000000"/>
        </w:rPr>
        <w:t xml:space="preserve"> nerkowego i wątrobowego;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wiązanie się różnych substancji z białkami i kwestie związane z wypieraniem z takich wiązań (w szczególności bilirubiny);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penetrację produktów leczniczych w ośrodkowym układzie nerwowym;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6)  specyficzne dla tej grupy wiekowej stany chorobowe, w szczególności zespół zaburzeń oddechowych u noworodków, drożny przewód </w:t>
      </w:r>
      <w:proofErr w:type="spellStart"/>
      <w:r>
        <w:rPr>
          <w:color w:val="000000"/>
        </w:rPr>
        <w:t>Botalla</w:t>
      </w:r>
      <w:proofErr w:type="spellEnd"/>
      <w:r>
        <w:rPr>
          <w:color w:val="000000"/>
        </w:rPr>
        <w:t>, pierwotne nadciśnienie płucne;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7)  specyficzne stany wrażliwości u noworodków z porodu przedwczesnego, w szczególności martwicze zapalenie jelita cienkiego i jelita grubego, wylew do komory mózgowej, retinopatię wcześniaków;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8)  szybkie i zmienne dojrzewanie wszystkich funkcji fizjologicznych i farmakologicznych, prowadzące do konieczności stosowania różnych, zmiennych schematów dawkowania;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9)  przezskórne wchłanianie produktów leczniczych.</w:t>
      </w:r>
    </w:p>
    <w:p w:rsidR="00780DEE" w:rsidRDefault="006E495F">
      <w:pPr>
        <w:spacing w:before="107" w:after="0"/>
      </w:pPr>
      <w:r>
        <w:rPr>
          <w:color w:val="000000"/>
        </w:rPr>
        <w:lastRenderedPageBreak/>
        <w:t>2. Ze względu na złożoność badań klinicznych prowadzonych u noworodków z porodów przedwczesnych w opracowaniu protokołu takiego badania muszą brać udział eksperci z dziedziny neonatologii i farmakologii.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>W trakcie przygotowania protokołu badań klinicznych z udziałem noworodków urodzonych o czasie należy wziąć pod uwagę: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odmienną objętość dystrybucji ze względu na zwiększoną zawartość wody i tłuszczów w organizmie oraz dużego stosunku powierzchni ciała do masy ciała;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nie w pełni dojrzałą barierę krew-mózg;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obecność substancji endogennych, w szczególności bilirubiny, mogących przeniknąć do ośrodkowego układu nerwowego;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odmienności we wchłanianiu produktów leczniczych;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niedojrzałość i szybkie zmiany wątrobowe i nerkowe mechanizmów </w:t>
      </w:r>
      <w:proofErr w:type="spellStart"/>
      <w:r>
        <w:rPr>
          <w:color w:val="000000"/>
        </w:rPr>
        <w:t>klirensu</w:t>
      </w:r>
      <w:proofErr w:type="spellEnd"/>
      <w:r>
        <w:rPr>
          <w:color w:val="000000"/>
        </w:rPr>
        <w:t>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6)  zwiększoną lub zmniejszoną wrażliwość na działania toksyczne produktów leczniczych.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6. </w:t>
      </w:r>
      <w:r>
        <w:rPr>
          <w:color w:val="000000"/>
        </w:rPr>
        <w:t>W trakcie przygotowania protokołu badań klinicznych z udziałem niemowląt i małych dzieci należy wziąć pod uwagę: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szybki okres dojrzewania ośrodkowego układu nerwowego;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rozwój układu odpornościowego;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szybki wzrost całego organizmu;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bardziej stabilne wchłanianie produktów leczniczych po podaniu doustnym;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znaczną międzyosobniczą zmienność pod względem dojrzewania.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7. </w:t>
      </w:r>
      <w:r>
        <w:rPr>
          <w:color w:val="000000"/>
        </w:rPr>
        <w:t>W trakcie przygotowania protokołu badań klinicznych z udziałem dzieci należy wziąć pod uwagę: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dojrzałość większości dróg </w:t>
      </w:r>
      <w:proofErr w:type="spellStart"/>
      <w:r>
        <w:rPr>
          <w:color w:val="000000"/>
        </w:rPr>
        <w:t>klirensu</w:t>
      </w:r>
      <w:proofErr w:type="spellEnd"/>
      <w:r>
        <w:rPr>
          <w:color w:val="000000"/>
        </w:rPr>
        <w:t xml:space="preserve"> leków (wątrobowego i nerkowego), z uwzględnieniem tego, że </w:t>
      </w:r>
      <w:proofErr w:type="spellStart"/>
      <w:r>
        <w:rPr>
          <w:color w:val="000000"/>
        </w:rPr>
        <w:t>klirens</w:t>
      </w:r>
      <w:proofErr w:type="spellEnd"/>
      <w:r>
        <w:rPr>
          <w:color w:val="000000"/>
        </w:rPr>
        <w:t xml:space="preserve"> ten przekracza często wartości stwierdzane u dorosłych;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ścisłe monitorowanie wpływu produktów leczniczych na wzrost i rozwój dziecka;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możliwe zaburzenia rozwoju psychomotorycznego poprzez szkodliwy wpływ produktów leczniczych na ośrodkowy układ nerwowy;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zwiększone umiejętności poznawcze i motoryczne wpływające na zdolność dziecka do uczestniczenia w niektórych rodzajach badań dotyczących skuteczności;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rozpoczęcie okresu dojrzewania;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6)  zmiany aktywności enzymów, które metabolizują produkty lecznicze.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8. </w:t>
      </w:r>
      <w:r>
        <w:rPr>
          <w:color w:val="000000"/>
        </w:rPr>
        <w:t>W trakcie przygotowania protokołu badań klinicznych z udziałem młodzieży należy wziąć pod uwagę: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okres dojrzewania płciowego;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lastRenderedPageBreak/>
        <w:t xml:space="preserve">  2)  niekorzystny wpływ niektórych produktów leczniczych na działanie hormonów płciowych;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ocenę aktywności seksualnej, stosowanej metody antykoncepcji i ewentualną konieczność wykonania próby ciążowej przed włączeniem małoletniej do badania;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niekorzystny wpływ niektórych produktów leczniczych na rozwój układu nerwowego i czynności poznawczych, opóźnienie lub przyśpieszenie pojawienie się okresu dojrzewania, przyśpieszenie lub opóźnienie wzrostu;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5)  wpływ zmian hormonalnych występujących w okresie dojrzewania, w szczególności wzrostu oporności na działanie insuliny w cukrzycy, nawroty drgawek w okresie wystąpienia pierwszego miesiączkowania, zmiany częstotliwości i nasilenia ataków migreny oraz zaostrzenia przebiegu astmy, mogących wpływać na wyniki badań klinicznych;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6)  możliwość samodzielnego zażywania innych, nieprzepisanych leków, używania alkoholu, narkotyków i tytoniu;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7)  możliwość nieprzestrzegania zaleceń lekarza.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 xml:space="preserve">Przed rozpoczęciem badań klinicznych z udziałem małoletnich należy uzyskać dane dotyczące toksyczności po wielokrotnym podaniu produktu leczniczego, jego wpływu na rozrodczość i dane dotyczące </w:t>
      </w:r>
      <w:proofErr w:type="spellStart"/>
      <w:r>
        <w:rPr>
          <w:color w:val="000000"/>
        </w:rPr>
        <w:t>genotoksyczności</w:t>
      </w:r>
      <w:proofErr w:type="spellEnd"/>
      <w:r>
        <w:rPr>
          <w:color w:val="000000"/>
        </w:rPr>
        <w:t xml:space="preserve"> uzyskane z badań na młodych zwierzętach laboratoryjnych prowadzonych zgodnie z przepisami dotyczącymi doświadczeń na zwierzętach.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10. </w:t>
      </w:r>
    </w:p>
    <w:p w:rsidR="00780DEE" w:rsidRDefault="006E495F">
      <w:pPr>
        <w:spacing w:before="107" w:after="0"/>
      </w:pPr>
      <w:r>
        <w:rPr>
          <w:color w:val="000000"/>
        </w:rPr>
        <w:t>1. Badania kliniczne z udziałem małoletnich można przeprowadzić dopiero po ukończeniu fazy II lub III badań klinicznych z udziałem dorosłych.</w:t>
      </w:r>
    </w:p>
    <w:p w:rsidR="00780DEE" w:rsidRDefault="006E495F">
      <w:pPr>
        <w:spacing w:before="107" w:after="0"/>
      </w:pPr>
      <w:r>
        <w:rPr>
          <w:color w:val="000000"/>
        </w:rPr>
        <w:t>2. W przypadku gdy nowe produkty lecznicze mają być stosowane wyłącznie lub przede wszystkim u małoletnich, badania kliniczne z ich udziałem mogą rozpocząć się bez poprzedzających je wstępnych badań bezpieczeństwa i skuteczności przeprowadzanych u dorosłych.</w:t>
      </w:r>
    </w:p>
    <w:p w:rsidR="00780DEE" w:rsidRDefault="006E495F">
      <w:pPr>
        <w:spacing w:before="107" w:after="0"/>
      </w:pPr>
      <w:r>
        <w:rPr>
          <w:color w:val="000000"/>
        </w:rPr>
        <w:t>3. Wstępne badania mogą być wykonane jedynie z udziałem małoletnich, w przypadku gdy podanie leku dorosłym i tak nie dostarczyłoby istotnych danych i naraziłoby ich na niepotrzebne ryzyko, w szczególności gdy terapia dotyczy chorób metabolicznych lub genetycznych występujących wyłącznie w populacji pediatrycznej.</w:t>
      </w:r>
    </w:p>
    <w:p w:rsidR="00780DEE" w:rsidRDefault="006E495F">
      <w:pPr>
        <w:spacing w:before="107" w:after="0"/>
      </w:pPr>
      <w:r>
        <w:rPr>
          <w:color w:val="000000"/>
        </w:rPr>
        <w:t>4. Badania kliniczne z udziałem małoletnich można rozpocząć wcześniej niż w terminie określonym w ust. 1, w przypadku gdy produkty lecznicze mają być stosowane zarówno u dorosłych, jak i u małoletnich w stanach zagrożenia życia, jeżeli nie istnieje alternatywna metoda leczenia lub jest ona bardzo ograniczona, a nowa metoda lub produkt leczniczy stanowią znaczący postęp w terapii.</w:t>
      </w:r>
    </w:p>
    <w:p w:rsidR="00780DEE" w:rsidRDefault="006E495F">
      <w:pPr>
        <w:spacing w:before="107" w:after="0"/>
      </w:pPr>
      <w:r>
        <w:rPr>
          <w:color w:val="000000"/>
        </w:rPr>
        <w:t>5. W przypadkach określonych w ust. 4, badania kliniczne z udziałem małoletnich powinny się rozpocząć zaraz po otrzymaniu wstępnych danych dotyczących bezpieczeństwa nowego produktu i określeniu potencjalnych korzyści z jego stosowania u małoletnich.</w:t>
      </w:r>
    </w:p>
    <w:p w:rsidR="00780DEE" w:rsidRDefault="006E495F">
      <w:pPr>
        <w:spacing w:before="107" w:after="240"/>
      </w:pPr>
      <w:r>
        <w:rPr>
          <w:b/>
          <w:color w:val="000000"/>
        </w:rPr>
        <w:lastRenderedPageBreak/>
        <w:t xml:space="preserve">§  11. </w:t>
      </w:r>
      <w:r>
        <w:rPr>
          <w:color w:val="000000"/>
        </w:rPr>
        <w:t>W przypadku konieczności przeprowadzenia badań dotyczących skuteczności produktu leczniczego u małoletnich należy dokładnie określić punkty końcowe badania dla poszczególnych grup wiekowych.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12. </w:t>
      </w:r>
      <w:r>
        <w:rPr>
          <w:color w:val="000000"/>
        </w:rPr>
        <w:t>Jeżeli z danym produktem leczniczym zostały przeprowadzone badania kliniczne z udziałem dorosłych ich wyniki należy wykorzystać, jeżeli to możliwe, przy przeprowadzaniu badań klinicznych z udziałem małoletnich.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13. </w:t>
      </w:r>
    </w:p>
    <w:p w:rsidR="00780DEE" w:rsidRDefault="006E495F">
      <w:pPr>
        <w:spacing w:before="107" w:after="0"/>
      </w:pPr>
      <w:r>
        <w:rPr>
          <w:color w:val="000000"/>
        </w:rPr>
        <w:t>1. Wykorzystanie danych z badań klinicznych u dorosłych jest dopuszczalne w przypadku gdy produkt leczniczy będzie stosowany u małoletnich w tych samych wskazaniach co produkt zarejestrowany u dorosłych, przebieg choroby w obu grupach jest zbliżony, a efekt terapii jest porównywalny.</w:t>
      </w:r>
    </w:p>
    <w:p w:rsidR="00780DEE" w:rsidRDefault="006E495F">
      <w:pPr>
        <w:spacing w:before="107" w:after="0"/>
      </w:pPr>
      <w:r>
        <w:rPr>
          <w:color w:val="000000"/>
        </w:rPr>
        <w:t>2. W przypadkach, o których mowa w ust. 1, należy jedynie przeprowadzić badania farmakokinetyki umożliwiające dostosowanie odpowiednich dawek produktu dla małoletnich w celu uzyskania tych samych terapeutycznych stężeń produktu we krwi co u dorosłych.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14. </w:t>
      </w:r>
      <w:r>
        <w:rPr>
          <w:color w:val="000000"/>
        </w:rPr>
        <w:t>Badania skuteczności produktu leczniczego u małoletnich są niezbędne w przypadkach gdy produkt ma być stosowany w innych wskazaniach niż u dorosłych oraz gdy przebieg choroby i wynik leczenia w obu tych grupach jest odmienny.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15. </w:t>
      </w:r>
      <w:r>
        <w:rPr>
          <w:color w:val="000000"/>
        </w:rPr>
        <w:t>W przypadku gdy wiadomo, że skuteczność produktu leczniczego nie jest uzależniona od jego stężenia we krwi lub gdy zależność pomiędzy stężeniem a skutecznością jest inna u dorosłych i u małoletnich, należy wykonać badania farmakologiczne z udziałem małoletnich.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16. </w:t>
      </w:r>
    </w:p>
    <w:p w:rsidR="00780DEE" w:rsidRDefault="006E495F">
      <w:pPr>
        <w:spacing w:before="107" w:after="0"/>
      </w:pPr>
      <w:r>
        <w:rPr>
          <w:color w:val="000000"/>
        </w:rPr>
        <w:t>1. Jeżeli z danym produktem leczniczym prowadzone są badania kliniczne z udziałem małoletnich w różnych grupach wiekowych, wyniki badań przeprowadzonych z udziałem małoletnich starszych należy wykorzystać, jeżeli to możliwe, przy przeprowadzaniu badań klinicznych z udziałem małoletnich młodszych.</w:t>
      </w:r>
    </w:p>
    <w:p w:rsidR="00780DEE" w:rsidRDefault="006E495F">
      <w:pPr>
        <w:spacing w:before="107" w:after="0"/>
      </w:pPr>
      <w:r>
        <w:rPr>
          <w:color w:val="000000"/>
        </w:rPr>
        <w:t>2. Przepisu ust. 1 nie stosuje się w przypadku: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badań farmakokinetyki, które należy przeprowadzić dla wszystkich grup wiekowych;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specyficznych chorób występujących tylko u noworodków urodzonych przedwcześnie lub o czasie, w zakresie wyników dotyczących skuteczności u starszych małoletnich, ze względu na konieczność użycia nowych metod oceny wyników terapii w tej grupie wiekowej.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17. </w:t>
      </w:r>
      <w:r>
        <w:rPr>
          <w:color w:val="000000"/>
        </w:rPr>
        <w:t>Ze względu na odmienność reagowania młodego organizmu na produkty lecznicze należy wnikliwie obserwować i analizować wszystkie działania niepożądane i interakcje, a w razie konieczności przeprowadzić długoterminowe badania obserwacyjne.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W przypadku konieczności oceny nasilenia bólu w badaniach klinicznych z udziałem małoletnich należy w różnych grupach wiekowych użyć odpowiednich skal oceny, w szczególności rysunkowej lub liczbowej.</w:t>
      </w:r>
    </w:p>
    <w:p w:rsidR="00780DEE" w:rsidRDefault="006E495F">
      <w:pPr>
        <w:spacing w:before="107" w:after="240"/>
      </w:pPr>
      <w:r>
        <w:rPr>
          <w:b/>
          <w:color w:val="000000"/>
        </w:rPr>
        <w:lastRenderedPageBreak/>
        <w:t xml:space="preserve">§  19. </w:t>
      </w:r>
      <w:r>
        <w:rPr>
          <w:color w:val="000000"/>
        </w:rPr>
        <w:t>U pacjentów małoletnich z przewlekłą chorobą, uczestniczących w badaniach klinicznych, przy ocenie wyników bierze się pod uwagę czas trwania choroby, wiek i stopień rozwoju pacjenta.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>Przy zgłaszaniu działań niepożądanych z badań klinicznych z udziałem małoletnich należy uwzględnić prawidłowe dla poszczególnych kategorii wiekowych wartości wyników laboratoryjnych i klinicznych.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21. </w:t>
      </w:r>
    </w:p>
    <w:p w:rsidR="00780DEE" w:rsidRDefault="006E495F">
      <w:pPr>
        <w:spacing w:before="107" w:after="0"/>
      </w:pPr>
      <w:r>
        <w:rPr>
          <w:color w:val="000000"/>
        </w:rPr>
        <w:t>1. W badaniach klinicznych z udziałem małoletnich stosuje się specjalną, pediatryczną postać produktu leczniczego, umożliwiającą dokładne dawkowanie produktu i gwarantującą akceptację przez małoletniego i rodziców.</w:t>
      </w:r>
    </w:p>
    <w:p w:rsidR="00780DEE" w:rsidRDefault="006E495F">
      <w:pPr>
        <w:spacing w:before="107" w:after="0"/>
      </w:pPr>
      <w:r>
        <w:rPr>
          <w:color w:val="000000"/>
        </w:rPr>
        <w:t>2. Przy tworzeniu postaci produktu leczniczego, o której mowa w ust. 1, uwzględnia się w szczególności: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konieczność stworzenia różnych postaci preparatu, jak i też różnych smaków i kolorów danego preparatu - dla produktów przeznaczonych do podawania doustnego;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możliwość powstania różnych postaci farmaceutycznych preparatu, takich jak: roztwory, zawiesiny czy tabletki rozpuszczalne - w zależności od wieku małoletnich, dla których produkt ma być przeznaczony;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dostępność produktu leczniczego w różnych dawkach i stężeniach;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4)  konieczność dostosowania produktów leczniczych do stosowania u małoletnich, w przypadku gdy substancje pomocnicze dopuszczone do stosowania u dorosłych mogą być toksyczne dla małoletnich.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22. </w:t>
      </w:r>
    </w:p>
    <w:p w:rsidR="00780DEE" w:rsidRDefault="006E495F">
      <w:pPr>
        <w:spacing w:before="107" w:after="0"/>
      </w:pPr>
      <w:r>
        <w:rPr>
          <w:color w:val="000000"/>
        </w:rPr>
        <w:t>1. W celu wybrania odpowiedniej dawki dla poszczególnych kategorii wiekowych, w których ma być stosowany dany produkt leczniczy, wykonuje się badania farmakokinetyczne z udziałem małoletnich.</w:t>
      </w:r>
    </w:p>
    <w:p w:rsidR="00780DEE" w:rsidRDefault="006E495F">
      <w:pPr>
        <w:spacing w:before="107" w:after="0"/>
      </w:pPr>
      <w:r>
        <w:rPr>
          <w:color w:val="000000"/>
        </w:rPr>
        <w:t>2. Zalecenia dotyczące dawkowania u małoletnich powinny być wyrażone w mg/kg masy ciała lub w przypadku preparatów z wąskim indeksem terapeutycznym (stosowanych np. w onkologii) w mg/m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powierzchni ciała.</w:t>
      </w:r>
    </w:p>
    <w:p w:rsidR="00780DEE" w:rsidRDefault="006E495F">
      <w:pPr>
        <w:spacing w:before="107" w:after="0"/>
      </w:pPr>
      <w:r>
        <w:rPr>
          <w:b/>
          <w:color w:val="000000"/>
        </w:rPr>
        <w:t xml:space="preserve">§  23. </w:t>
      </w:r>
      <w:r>
        <w:rPr>
          <w:color w:val="000000"/>
        </w:rPr>
        <w:t>W celu zminimalizowania bólu i dyskomfortu w trakcie trwania badania klinicznego z udziałem małoletnich należy: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1)  zapewnić w badaniu klinicznym udział personelu posiadającego wiedzę i umiejętności w zakresie postępowania z małoletnimi;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2)  stosować metody mające na celu minimalizację dyskomfortu związanego z wykonywanymi procedurami, w szczególności:</w:t>
      </w:r>
    </w:p>
    <w:p w:rsidR="00780DEE" w:rsidRDefault="006E495F">
      <w:pPr>
        <w:spacing w:after="0"/>
        <w:ind w:left="746"/>
      </w:pPr>
      <w:r>
        <w:rPr>
          <w:color w:val="000000"/>
        </w:rPr>
        <w:t>a)  stosować miejscowe znieczulenie w celu założenia cewników dożylnych,</w:t>
      </w:r>
    </w:p>
    <w:p w:rsidR="00780DEE" w:rsidRDefault="006E495F">
      <w:pPr>
        <w:spacing w:after="0"/>
        <w:ind w:left="746"/>
      </w:pPr>
      <w:r>
        <w:rPr>
          <w:color w:val="000000"/>
        </w:rPr>
        <w:t>b)  pobierać krew, jeżeli to możliwe, przy dokonaniu jednego nakłucia żyły w celu dokonania kilku badań,</w:t>
      </w:r>
    </w:p>
    <w:p w:rsidR="00780DEE" w:rsidRDefault="006E495F">
      <w:pPr>
        <w:spacing w:after="0"/>
        <w:ind w:left="746"/>
      </w:pPr>
      <w:r>
        <w:rPr>
          <w:color w:val="000000"/>
        </w:rPr>
        <w:t>c)  używać w badaniach laboratoryjnych czułych testów laboratoryjnych,</w:t>
      </w:r>
    </w:p>
    <w:p w:rsidR="00780DEE" w:rsidRDefault="006E495F">
      <w:pPr>
        <w:spacing w:after="0"/>
        <w:ind w:left="746"/>
      </w:pPr>
      <w:r>
        <w:rPr>
          <w:color w:val="000000"/>
        </w:rPr>
        <w:lastRenderedPageBreak/>
        <w:t>d)  przeprowadzać badania laboratoryjne w laboratoriach mających doświadczenie w pracy z próbkami krwi o małej objętości,</w:t>
      </w:r>
    </w:p>
    <w:p w:rsidR="00780DEE" w:rsidRDefault="006E495F">
      <w:pPr>
        <w:spacing w:after="0"/>
        <w:ind w:left="746"/>
      </w:pPr>
      <w:r>
        <w:rPr>
          <w:color w:val="000000"/>
        </w:rPr>
        <w:t>e)  używać cewników zakładanych na stałe;</w:t>
      </w:r>
    </w:p>
    <w:p w:rsidR="00780DEE" w:rsidRDefault="006E495F">
      <w:pPr>
        <w:spacing w:before="107" w:after="0"/>
        <w:ind w:left="373"/>
      </w:pPr>
      <w:r>
        <w:rPr>
          <w:color w:val="000000"/>
        </w:rPr>
        <w:t xml:space="preserve">  3)  zamieszczać w protokole badania klinicznego uzasadnienie pobrania danych objętości krwi.</w:t>
      </w:r>
    </w:p>
    <w:p w:rsidR="00780DEE" w:rsidRDefault="006E495F">
      <w:pPr>
        <w:spacing w:before="107" w:after="240"/>
      </w:pPr>
      <w:r>
        <w:rPr>
          <w:b/>
          <w:color w:val="000000"/>
        </w:rPr>
        <w:t xml:space="preserve">§  24. </w:t>
      </w:r>
      <w:r>
        <w:rPr>
          <w:color w:val="000000"/>
        </w:rPr>
        <w:t>Rozporządzenie wchodzi w życie z dniem ogłoszenia.</w:t>
      </w:r>
    </w:p>
    <w:p w:rsidR="00780DEE" w:rsidRDefault="006E495F">
      <w:pPr>
        <w:spacing w:after="0"/>
      </w:pPr>
      <w:r>
        <w:rPr>
          <w:color w:val="000000"/>
        </w:rPr>
        <w:t>________</w:t>
      </w:r>
    </w:p>
    <w:p w:rsidR="00780DEE" w:rsidRDefault="006E495F">
      <w:pPr>
        <w:spacing w:before="100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Minister Zdrowia kieruje działem administracji rządowej - zdrowie, na podstawie </w:t>
      </w:r>
      <w:r>
        <w:rPr>
          <w:color w:val="1B1B1B"/>
        </w:rPr>
        <w:t>§ 1</w:t>
      </w:r>
      <w:r>
        <w:rPr>
          <w:color w:val="000000"/>
        </w:rPr>
        <w:t xml:space="preserve"> ust. 2 rozporządzenia Prezesa Rady Ministrów z dnia 28 czerwca 2002 r. w sprawie szczegółowego zakresu działania Ministra Zdrowia (Dz. U. Nr 93, poz. 833 oraz z 2003 r. Nr 199, poz. 1941).</w:t>
      </w:r>
    </w:p>
    <w:sectPr w:rsidR="00780DEE" w:rsidSect="00F412E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80DEE"/>
    <w:rsid w:val="006E495F"/>
    <w:rsid w:val="00780DEE"/>
    <w:rsid w:val="007A795B"/>
    <w:rsid w:val="00F4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12E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41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F412E7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412E7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412E7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412E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412E7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412E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412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12023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Kubiak</dc:creator>
  <cp:lastModifiedBy>anna.swiderska</cp:lastModifiedBy>
  <cp:revision>2</cp:revision>
  <dcterms:created xsi:type="dcterms:W3CDTF">2016-12-12T08:13:00Z</dcterms:created>
  <dcterms:modified xsi:type="dcterms:W3CDTF">2016-12-12T08:13:00Z</dcterms:modified>
</cp:coreProperties>
</file>